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9. Ксерокопии паспортов  родителей (титульный лист и лист с пропиской)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>10. Номер счете заявителя, заведенный в филиалах Сбер. банка РФ</w:t>
      </w:r>
      <w:r>
        <w:rPr>
          <w:b/>
          <w:sz w:val="16"/>
          <w:szCs w:val="16"/>
        </w:rPr>
        <w:t xml:space="preserve">.  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center"/>
        <w:rPr>
          <w:sz w:val="16"/>
          <w:szCs w:val="16"/>
        </w:rPr>
      </w:pPr>
      <w:r>
        <w:rPr/>
        <w:drawing>
          <wp:inline distT="0" distB="0" distL="0" distR="0">
            <wp:extent cx="930275" cy="9302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lef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/>
          <w:b/>
          <w:kern w:val="0"/>
          <w:sz w:val="24"/>
          <w:szCs w:val="24"/>
          <w:lang w:val="ru-RU" w:eastAsia="en-US" w:bidi="ar-SA"/>
        </w:rPr>
        <w:t>https://www.gosuslugi.ru/600198/1/form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lef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 xml:space="preserve">III. С 1 января 2022 года многодетной семьей в Челябинской области признается семья, </w:t>
      </w:r>
      <w:r>
        <w:rPr>
          <w:rFonts w:cs="Times New Roman"/>
          <w:sz w:val="16"/>
          <w:szCs w:val="16"/>
        </w:rPr>
        <w:t xml:space="preserve">постоянно проживающая на территории Челябинской области и имеющая на своем содержании трех и более детей (в том числе усыновленных, взятых под опеку (попечительство), пасынков и падчериц) в возрасте до восемнадцати лет, </w:t>
      </w:r>
      <w:r>
        <w:rPr>
          <w:rFonts w:cs="Times New Roman"/>
          <w:b/>
          <w:sz w:val="16"/>
          <w:szCs w:val="16"/>
        </w:rPr>
        <w:t>а также детей старше восемнадцати лет, обучающихся в образовательных организациях по очной форме обучения, но не более чем до достижения ими возраста 23 лет (в том числе усыновленных, взятых под опеку (попечительство), пасынков и падчериц)</w:t>
      </w:r>
      <w:r>
        <w:rPr>
          <w:rFonts w:cs="Times New Roman"/>
          <w:sz w:val="16"/>
          <w:szCs w:val="16"/>
        </w:rPr>
        <w:t xml:space="preserve">. </w:t>
        <w:tab/>
        <w:t>Документом, подтверждающим статус многодетной семьи, является удостоверение многодетной семьи.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8"/>
          <w:szCs w:val="18"/>
        </w:rPr>
      </w:pPr>
      <w:r>
        <w:rPr>
          <w:rFonts w:cs="Times New Roman"/>
          <w:b/>
          <w:sz w:val="18"/>
          <w:szCs w:val="18"/>
        </w:rPr>
        <w:t>Перечень документов, необходимых для выдачи удостоверения многодетной семьи:</w:t>
      </w:r>
    </w:p>
    <w:p>
      <w:pPr>
        <w:pStyle w:val="ConsPlusNormal"/>
        <w:ind w:firstLine="540"/>
        <w:jc w:val="both"/>
        <w:rPr>
          <w:sz w:val="16"/>
          <w:szCs w:val="16"/>
        </w:rPr>
      </w:pPr>
      <w:bookmarkStart w:id="0" w:name="Par57"/>
      <w:bookmarkEnd w:id="0"/>
      <w:r>
        <w:rPr>
          <w:rFonts w:cs="Times New Roman"/>
          <w:sz w:val="16"/>
          <w:szCs w:val="16"/>
        </w:rPr>
        <w:t>1) заявление по форме, установленной Министерством;</w:t>
      </w:r>
    </w:p>
    <w:p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2) фотография заявителя размером 3 сантиметра x 4 сантиметра, в случае если заявитель состоит в браке, дополнительно представляется фотография супруга/супруги;</w:t>
      </w:r>
    </w:p>
    <w:p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3) документ, удостоверяющий личность заявителя, в случае если заявитель состоит в браке, дополнительно представляется копия документа, удостоверяющего личность супруга/супруги заявителя;</w:t>
      </w:r>
    </w:p>
    <w:p>
      <w:pPr>
        <w:pStyle w:val="ConsPlusNormal"/>
        <w:ind w:firstLine="540"/>
        <w:jc w:val="both"/>
        <w:rPr>
          <w:sz w:val="16"/>
          <w:szCs w:val="16"/>
        </w:rPr>
      </w:pPr>
      <w:bookmarkStart w:id="1" w:name="Par61"/>
      <w:bookmarkEnd w:id="1"/>
      <w:r>
        <w:rPr>
          <w:rFonts w:cs="Times New Roman"/>
          <w:sz w:val="16"/>
          <w:szCs w:val="16"/>
        </w:rPr>
        <w:t>4) вид на жительство для иностранных граждан и лиц без гражданства, постоянно проживающих на территории Российской Федерации;</w:t>
      </w:r>
    </w:p>
    <w:p>
      <w:pPr>
        <w:pStyle w:val="ConsPlusNormal"/>
        <w:ind w:firstLine="540"/>
        <w:jc w:val="both"/>
        <w:rPr>
          <w:sz w:val="16"/>
          <w:szCs w:val="16"/>
        </w:rPr>
      </w:pPr>
      <w:bookmarkStart w:id="2" w:name="Par62"/>
      <w:bookmarkEnd w:id="2"/>
      <w:r>
        <w:rPr>
          <w:rFonts w:cs="Times New Roman"/>
          <w:sz w:val="16"/>
          <w:szCs w:val="16"/>
        </w:rPr>
        <w:t>4-1) документ, подтверждающий регистрацию всех членов многодетной семьи по месту жительства;</w:t>
      </w:r>
    </w:p>
    <w:p>
      <w:pPr>
        <w:pStyle w:val="ConsPlusNormal"/>
        <w:ind w:firstLine="540"/>
        <w:jc w:val="both"/>
        <w:rPr>
          <w:sz w:val="16"/>
          <w:szCs w:val="16"/>
        </w:rPr>
      </w:pPr>
      <w:bookmarkStart w:id="3" w:name="Par64"/>
      <w:bookmarkEnd w:id="3"/>
      <w:r>
        <w:rPr>
          <w:rFonts w:cs="Times New Roman"/>
          <w:sz w:val="16"/>
          <w:szCs w:val="16"/>
        </w:rPr>
        <w:t>4-2) решение суда, устанавливающее факт постоянного проживания членов многодетной семьи на территории Челябинской области, в случае отсутствия регистрации по месту жительства на территории Челябинской области;</w:t>
      </w:r>
    </w:p>
    <w:p>
      <w:pPr>
        <w:pStyle w:val="ConsPlusNormal"/>
        <w:ind w:firstLine="540"/>
        <w:jc w:val="both"/>
        <w:rPr>
          <w:sz w:val="16"/>
          <w:szCs w:val="16"/>
        </w:rPr>
      </w:pPr>
      <w:bookmarkStart w:id="4" w:name="Par66"/>
      <w:bookmarkEnd w:id="4"/>
      <w:r>
        <w:rPr>
          <w:rFonts w:cs="Times New Roman"/>
          <w:sz w:val="16"/>
          <w:szCs w:val="16"/>
        </w:rPr>
        <w:t>5) разрешение на временное проживание и документ, подтверждающий наличие трудовых отношений, для иностранных граждан и лиц без гражданства, временно проживающих на территории Российской Федерации;</w:t>
      </w:r>
    </w:p>
    <w:p>
      <w:pPr>
        <w:pStyle w:val="ConsPlusNormal"/>
        <w:ind w:firstLine="540"/>
        <w:jc w:val="both"/>
        <w:rPr>
          <w:sz w:val="16"/>
          <w:szCs w:val="16"/>
        </w:rPr>
      </w:pPr>
      <w:bookmarkStart w:id="5" w:name="Par69"/>
      <w:bookmarkEnd w:id="5"/>
      <w:r>
        <w:rPr>
          <w:rFonts w:cs="Times New Roman"/>
          <w:sz w:val="16"/>
          <w:szCs w:val="16"/>
        </w:rPr>
        <w:t>6) свидетельство о рождении каждого ребенка;</w:t>
      </w:r>
    </w:p>
    <w:p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7) справка из органов ЗАГСа об основании внесения в актовую запись о рождении ребенка сведений об отце (при отсутствии в свидетельстве о рождении ребенка сведений об отце справка не требуется) либо свидетельство об установлении отцовства;</w:t>
      </w:r>
    </w:p>
    <w:p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8) копия решения органа местного самоуправления об установлении над несовершеннолетним опеки;</w:t>
      </w:r>
    </w:p>
    <w:p>
      <w:pPr>
        <w:pStyle w:val="Normal"/>
        <w:ind w:firstLine="540"/>
        <w:rPr>
          <w:sz w:val="16"/>
          <w:szCs w:val="16"/>
        </w:rPr>
      </w:pPr>
      <w:bookmarkStart w:id="6" w:name="Par72"/>
      <w:bookmarkEnd w:id="6"/>
      <w:r>
        <w:rPr>
          <w:rFonts w:cs="Times New Roman"/>
          <w:sz w:val="16"/>
          <w:szCs w:val="16"/>
        </w:rPr>
        <w:t>9) свидетельство о заключении брака;</w:t>
      </w:r>
    </w:p>
    <w:p>
      <w:pPr>
        <w:pStyle w:val="Normal"/>
        <w:ind w:firstLine="540"/>
        <w:rPr>
          <w:sz w:val="16"/>
          <w:szCs w:val="16"/>
        </w:rPr>
      </w:pPr>
      <w:r>
        <w:rPr>
          <w:rFonts w:cs="Times New Roman"/>
          <w:b/>
          <w:sz w:val="16"/>
          <w:szCs w:val="16"/>
        </w:rPr>
        <w:t>10) справка об обучении ребенка старше 18 лет в образовательной организации по очной форме обучения. Справка обязательно должна содержать ФИО ребенка без сокращений, сведения об очной форме обучения и период обучения.</w:t>
      </w:r>
    </w:p>
    <w:p>
      <w:pPr>
        <w:pStyle w:val="Normal"/>
        <w:rPr>
          <w:sz w:val="16"/>
          <w:szCs w:val="16"/>
        </w:rPr>
      </w:pPr>
      <w:r>
        <w:rPr>
          <w:rFonts w:cs="Times New Roman"/>
          <w:sz w:val="16"/>
          <w:szCs w:val="16"/>
        </w:rPr>
        <w:t xml:space="preserve">Для продления срока действия удостоверения многодетной семьи Челябинской области по основанию – «обучение ребенка (детей) старше 18 лет (но не более 23 лет) в образовательных организациях по очной форме обучения», </w:t>
      </w:r>
      <w:r>
        <w:rPr>
          <w:rFonts w:cs="Times New Roman"/>
          <w:b/>
          <w:sz w:val="16"/>
          <w:szCs w:val="16"/>
        </w:rPr>
        <w:t xml:space="preserve">требуется ежегодное до достижения ребенком возраста 23 лет подтверждение факта очного обучения ребенка в образовательной организации. </w:t>
      </w:r>
    </w:p>
    <w:p>
      <w:pPr>
        <w:pStyle w:val="Normal"/>
        <w:ind w:firstLine="708"/>
        <w:rPr>
          <w:sz w:val="16"/>
          <w:szCs w:val="16"/>
        </w:rPr>
      </w:pPr>
      <w:r>
        <w:rPr>
          <w:rFonts w:cs="Times New Roman"/>
          <w:sz w:val="16"/>
          <w:szCs w:val="16"/>
        </w:rPr>
        <w:t>Напоминаем, что удостоверение многодетной семьи изготавливается 45 календарных дней со дня принятия документов органом социальной защиты населения.</w:t>
      </w:r>
    </w:p>
    <w:p>
      <w:pPr>
        <w:pStyle w:val="Normal"/>
        <w:ind w:firstLine="708"/>
        <w:rPr>
          <w:sz w:val="16"/>
          <w:szCs w:val="16"/>
        </w:rPr>
      </w:pPr>
      <w:r>
        <w:rPr>
          <w:rFonts w:cs="Times New Roman"/>
          <w:sz w:val="16"/>
          <w:szCs w:val="16"/>
        </w:rPr>
        <w:t xml:space="preserve">В связи с изменением статуса многодетной семьи сохранится право на получение ежемесячной денежной выплаты по оплате жилого помещения и коммунальных услуг многодетным семьям, при этом необходимо ежегодное предоставление справки об учебе детей старше 18 лет по очной форме обучения. </w:t>
      </w:r>
    </w:p>
    <w:p>
      <w:pPr>
        <w:pStyle w:val="Normal"/>
        <w:ind w:firstLine="708"/>
        <w:rPr>
          <w:sz w:val="16"/>
          <w:szCs w:val="16"/>
        </w:rPr>
      </w:pPr>
      <w:r>
        <w:rPr>
          <w:rFonts w:cs="Times New Roman"/>
          <w:sz w:val="16"/>
          <w:szCs w:val="16"/>
        </w:rPr>
        <w:t>С 1 января 2022 года при назначении данной выплаты меняется период учета доходов семьи с 3 месяцев до 12 месяцев.</w:t>
      </w:r>
    </w:p>
    <w:p>
      <w:pPr>
        <w:pStyle w:val="Normal"/>
        <w:ind w:firstLine="708"/>
        <w:rPr>
          <w:sz w:val="16"/>
          <w:szCs w:val="16"/>
        </w:rPr>
      </w:pPr>
      <w:r>
        <w:rPr>
          <w:rFonts w:cs="Times New Roman"/>
          <w:sz w:val="16"/>
          <w:szCs w:val="16"/>
        </w:rPr>
        <w:t xml:space="preserve">По заявлениям, принятым в январе 2025 г. для назначения ежемесячной денежной выплаты по оплате жилого помещения и коммунальных услуг многодетным семьям </w:t>
      </w:r>
      <w:r>
        <w:rPr>
          <w:rFonts w:cs="Times New Roman"/>
          <w:b/>
          <w:sz w:val="16"/>
          <w:szCs w:val="16"/>
        </w:rPr>
        <w:t>доходы семьи будут учитываться за период с 01.12.2023г. по 30.11.2024г.</w:t>
      </w:r>
    </w:p>
    <w:p>
      <w:pPr>
        <w:pStyle w:val="Normal"/>
        <w:ind w:firstLine="708"/>
        <w:rPr>
          <w:sz w:val="16"/>
          <w:szCs w:val="16"/>
        </w:rPr>
      </w:pPr>
      <w:r>
        <w:rPr>
          <w:rFonts w:cs="Times New Roman"/>
          <w:sz w:val="16"/>
          <w:szCs w:val="16"/>
        </w:rPr>
        <w:t>Кроме того, с 1 января 2022 года при назначении вышеуказанной выплаты в доход семьи не учитывается ежемесячная компенсационная выплата по уходу за ребенком-инвалидом (11 500руб.), выплачиваемая Пенсионным Фондом РФ.</w:t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widowControl/>
        <w:shd w:val="clear" w:color="auto" w:fill="FFFFFF"/>
        <w:spacing w:before="0" w:after="0"/>
        <w:ind w:firstLine="708"/>
        <w:jc w:val="left"/>
        <w:rPr>
          <w:sz w:val="16"/>
          <w:szCs w:val="16"/>
        </w:rPr>
      </w:pPr>
      <w:r>
        <w:rPr>
          <w:rFonts w:cs="Times New Roman"/>
          <w:kern w:val="0"/>
          <w:sz w:val="16"/>
          <w:szCs w:val="16"/>
          <w:lang w:val="ru-RU" w:bidi="ar-SA"/>
        </w:rPr>
        <w:t>https://www.gosuslugi.ru/600164/1/form/order/3745507119</w:t>
      </w:r>
    </w:p>
    <w:p>
      <w:pPr>
        <w:pStyle w:val="NormalWeb"/>
        <w:widowControl/>
        <w:shd w:val="clear" w:color="auto" w:fill="FFFFFF"/>
        <w:spacing w:before="0" w:after="0"/>
        <w:ind w:firstLine="708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widowControl/>
        <w:shd w:val="clear" w:color="auto" w:fill="FFFFFF"/>
        <w:spacing w:before="0" w:after="0"/>
        <w:ind w:firstLine="708"/>
        <w:jc w:val="left"/>
        <w:rPr>
          <w:sz w:val="16"/>
          <w:szCs w:val="16"/>
        </w:rPr>
      </w:pPr>
      <w:r>
        <w:rPr>
          <w:rFonts w:cs="Times New Roman"/>
          <w:kern w:val="0"/>
          <w:sz w:val="16"/>
          <w:szCs w:val="16"/>
          <w:lang w:val="ru-RU" w:bidi="ar-SA"/>
        </w:rPr>
        <w:t>https://gosuslugi74.ru/pgu/services/info/targets.htm?id=12837@egServiceTarget&amp;serviceId=7536@egService</w:t>
      </w:r>
    </w:p>
    <w:p>
      <w:pPr>
        <w:pStyle w:val="Normal"/>
        <w:ind w:firstLine="708"/>
        <w:rPr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</w:p>
    <w:p>
      <w:pPr>
        <w:pStyle w:val="Normal"/>
        <w:ind w:left="426" w:firstLine="282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Получить более подробную информацию по всем возникшим вопросам можно по </w:t>
      </w:r>
    </w:p>
    <w:p>
      <w:pPr>
        <w:pStyle w:val="Normal"/>
        <w:ind w:left="426" w:hanging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Тел.: 8(351-44)45-3-00 </w:t>
      </w:r>
    </w:p>
    <w:p>
      <w:pPr>
        <w:pStyle w:val="Normal"/>
        <w:ind w:left="426" w:hanging="0"/>
        <w:jc w:val="both"/>
        <w:rPr/>
      </w:pP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</w:t>
      </w:r>
      <w:hyperlink r:id="rId3">
        <w:r>
          <w:rPr>
            <w:b/>
            <w:sz w:val="16"/>
            <w:szCs w:val="16"/>
            <w:lang w:val="en-US"/>
          </w:rPr>
          <w:t>uszn</w:t>
        </w:r>
        <w:r>
          <w:rPr>
            <w:b/>
            <w:sz w:val="16"/>
            <w:szCs w:val="16"/>
          </w:rPr>
          <w:t>11@</w:t>
        </w:r>
        <w:r>
          <w:rPr>
            <w:b/>
            <w:sz w:val="16"/>
            <w:szCs w:val="16"/>
            <w:lang w:val="en-US"/>
          </w:rPr>
          <w:t>minsoc</w:t>
        </w:r>
        <w:r>
          <w:rPr>
            <w:b/>
            <w:sz w:val="16"/>
            <w:szCs w:val="16"/>
          </w:rPr>
          <w:t>74.</w:t>
        </w:r>
        <w:r>
          <w:rPr>
            <w:b/>
            <w:sz w:val="16"/>
            <w:szCs w:val="16"/>
            <w:lang w:val="en-US"/>
          </w:rPr>
          <w:t>ru</w:t>
        </w:r>
      </w:hyperlink>
      <w:r>
        <w:rPr>
          <w:b/>
          <w:sz w:val="16"/>
          <w:szCs w:val="16"/>
          <w:lang w:val="en-US"/>
        </w:rPr>
        <w:t xml:space="preserve"> </w:t>
      </w:r>
    </w:p>
    <w:p>
      <w:pPr>
        <w:pStyle w:val="Normal"/>
        <w:ind w:left="426" w:hanging="0"/>
        <w:jc w:val="both"/>
        <w:rPr>
          <w:sz w:val="16"/>
          <w:szCs w:val="16"/>
        </w:rPr>
      </w:pPr>
      <w:r>
        <w:rPr>
          <w:b/>
          <w:sz w:val="16"/>
          <w:szCs w:val="16"/>
        </w:rPr>
        <w:t>Приемные дни: понедельник, вторник среда с 9-00 до 17-00ч. Перерыв с 13-00 до 14-00ч.</w:t>
      </w:r>
    </w:p>
    <w:p>
      <w:pPr>
        <w:pStyle w:val="Normal"/>
        <w:ind w:left="426" w:hanging="0"/>
        <w:jc w:val="both"/>
        <w:rPr>
          <w:sz w:val="16"/>
          <w:szCs w:val="16"/>
        </w:rPr>
      </w:pPr>
      <w:r>
        <w:rPr>
          <w:b/>
          <w:sz w:val="16"/>
          <w:szCs w:val="16"/>
        </w:rPr>
        <w:t>Также документы можно подать в МФЦ</w:t>
      </w:r>
    </w:p>
    <w:p>
      <w:pPr>
        <w:pStyle w:val="Normal"/>
        <w:ind w:left="426" w:hanging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и через  портал ГОСУСЛУГ</w:t>
      </w:r>
    </w:p>
    <w:p>
      <w:pPr>
        <w:pStyle w:val="Normal"/>
        <w:ind w:left="426" w:firstLine="282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-29210</wp:posOffset>
                </wp:positionH>
                <wp:positionV relativeFrom="paragraph">
                  <wp:posOffset>113030</wp:posOffset>
                </wp:positionV>
                <wp:extent cx="3101975" cy="678116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400" cy="678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-2.3pt;margin-top:8.9pt;width:244.15pt;height:533.85pt;mso-wrap-style:square;v-text-anchor:top">
                <v:fill o:detectmouseclick="t" type="solid" color2="black"/>
                <v:stroke color="black" weight="38160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1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b/>
          <w:sz w:val="16"/>
          <w:szCs w:val="16"/>
        </w:rPr>
        <w:t>У</w:t>
      </w:r>
      <w:r>
        <w:rPr>
          <w:b/>
          <w:sz w:val="18"/>
          <w:szCs w:val="18"/>
        </w:rPr>
        <w:t xml:space="preserve">правление социальной защиты населения </w:t>
      </w:r>
    </w:p>
    <w:p>
      <w:pPr>
        <w:pStyle w:val="Normal"/>
        <w:jc w:val="center"/>
        <w:rPr>
          <w:sz w:val="16"/>
          <w:szCs w:val="16"/>
        </w:rPr>
      </w:pPr>
      <w:r>
        <w:rPr>
          <w:b/>
          <w:sz w:val="18"/>
          <w:szCs w:val="18"/>
        </w:rPr>
        <w:t>администрации Сосновского муниципального района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sz w:val="21"/>
          <w:szCs w:val="21"/>
        </w:rPr>
        <w:t>Социальная</w:t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sz w:val="21"/>
          <w:szCs w:val="21"/>
        </w:rPr>
        <w:t>поддержка</w:t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sz w:val="21"/>
          <w:szCs w:val="21"/>
        </w:rPr>
        <w:t>многодетных</w:t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sz w:val="21"/>
          <w:szCs w:val="21"/>
        </w:rPr>
        <w:t>семей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426" w:hanging="0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106045</wp:posOffset>
            </wp:positionH>
            <wp:positionV relativeFrom="paragraph">
              <wp:posOffset>116840</wp:posOffset>
            </wp:positionV>
            <wp:extent cx="2843530" cy="1710055"/>
            <wp:effectExtent l="0" t="0" r="0" b="0"/>
            <wp:wrapSquare wrapText="bothSides"/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Законом Челябинской области №548-ЗО от 31.03.2010 года многодетной семьей признается семья, постоянно проживающая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 территории Челябинской области и имеющая на своем содержании трех и более детей </w:t>
      </w:r>
      <w:r>
        <w:rPr>
          <w:rFonts w:cs="Times New Roman"/>
          <w:sz w:val="16"/>
          <w:szCs w:val="16"/>
        </w:rPr>
        <w:t xml:space="preserve"> (в том числе усыновленных, взятых под опеку (попечительство), пасынков и падчериц) в возрасте до 18 лет, а также старше 18 лет, обучающихся в образовательных организациях по очной форме обучения, но не более чем до достижения ими возраста 23 лет (в том числе усыновленных, взятых под опеку (попечительство), пасынков и падчериц), со среднедушевым доходом ниже величины двойного  прожиточного минимума на душу населения 31 128  руб.</w:t>
      </w:r>
    </w:p>
    <w:p>
      <w:pPr>
        <w:pStyle w:val="Normal"/>
        <w:ind w:firstLine="282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Меры социальной поддержки, которыми могут пользоваться только </w:t>
      </w:r>
      <w:r>
        <w:rPr>
          <w:sz w:val="16"/>
          <w:szCs w:val="16"/>
          <w:u w:val="single"/>
        </w:rPr>
        <w:t>многодетные малоимущие семьи</w:t>
      </w:r>
      <w:r>
        <w:rPr>
          <w:sz w:val="16"/>
          <w:szCs w:val="16"/>
        </w:rPr>
        <w:t>:</w:t>
      </w:r>
    </w:p>
    <w:p>
      <w:pPr>
        <w:pStyle w:val="Normal"/>
        <w:ind w:firstLine="282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0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Ежемесячная денежная выплата многодетным малоимущим семьям по оплате жилого помещения и коммунальных услуг в соответствии с Законом Челябинской области № 548-ЗО «О статусе и дополнительных мерах социальной поддержки многодетной семьи в Челябинской области». 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ConsPlusNormal"/>
        <w:ind w:left="0" w:right="0"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Размер ежемесячной денежной выплаты с 01.01.2025 года составляет 2 600 рублей.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ConsPlusNormal"/>
        <w:ind w:left="0" w:right="0" w:firstLine="540"/>
        <w:jc w:val="both"/>
        <w:rPr>
          <w:sz w:val="16"/>
          <w:szCs w:val="16"/>
        </w:rPr>
      </w:pPr>
      <w:r>
        <w:rPr>
          <w:rFonts w:cs="Times New Roman"/>
          <w:b/>
          <w:sz w:val="16"/>
          <w:szCs w:val="16"/>
        </w:rPr>
        <w:t>Для назначения ежемесячной денежной выплаты необходимы следующие документы (сведения):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1) сведения о документе, удостоверяющем личность заявителя, для иностранных граждан – копия документа, удостоверяющего личность;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2) сведения о рождении ребенка (детей), при регистрации записи акта о рождении ребенка (детей) за пределами Российской Федерации - копия документа, подтверждающего факт рождения и регистрации ребенка, выданного компетентным органом иностранного государства;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3) в случае, если сведения об отце ребенка внесены в запись акта о рождении ребенка на основании заявления матери ребенка, - справка (сведения) о рождении, подтверждающая(-щие), что сведения об отце ребенка внесены в запись акта о рождении на основании заявления матери;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4) сведения о заключении (расторжении) брака, при регистрации записи акта о заключении (расторжении) брака за пределами Российской Федерации – копия документа, подтверждающего факт заключения (расторжении) брака, выданного компетентным органом иностранного государства;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5) сведения о регистрации членов многодетной семьи по месту жительства (месту пребывания) на территории Челябинской области; 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6) сведения о неполучении ежемесячной денежной выплаты по месту жительства при обращении в орган социальной защиты по месту пребывания;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7) справка об обучении ребенка старше 18 лет в образовательной организации по очной форме обучения. Справка обязательно должна содержать ФИО ребенка без сокращений, сведения об очной форме обучения и период обучения.</w:t>
      </w:r>
    </w:p>
    <w:p>
      <w:pPr>
        <w:pStyle w:val="Normal"/>
        <w:jc w:val="both"/>
        <w:rPr>
          <w:sz w:val="16"/>
          <w:szCs w:val="16"/>
        </w:rPr>
      </w:pPr>
      <w:r>
        <w:rPr>
          <w:b/>
          <w:sz w:val="16"/>
          <w:szCs w:val="16"/>
        </w:rPr>
        <w:t>В целях профилактики переплат, ежегодно предоставляются справки об учебе детей по очной форме обучения, т.е. ЕДВ назначается до 1 сентября следующего учебного года.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8) выписка (сведения) из решения органа опеки и попечительства об установлении опека (попечительства) над ребенком (детьми);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9) документы (сведения), подтверждающие </w:t>
      </w:r>
      <w:r>
        <w:rPr>
          <w:b/>
          <w:sz w:val="16"/>
          <w:szCs w:val="16"/>
        </w:rPr>
        <w:t>доход каждого члена семьи за 12 календарных месяцев, предшествующих месяцу до месяца подачи заявления (например, при обращении в январе 2025 г. – доходы будут учитываться с 01.12.2023 г. по 30.11.2024г.)</w:t>
      </w:r>
      <w:r>
        <w:rPr>
          <w:sz w:val="16"/>
          <w:szCs w:val="16"/>
        </w:rPr>
        <w:t>, для определения среднедушевого дохода семьи либо документы, подтверждающие отсутствие дохода семьи;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10) документ, подтверждающий получение согласие лица, не являющегося заявителем, на обработку его персональных данных (представляется в случае, если для назначения ежемесячной денежной выплаты необходима обработка персональных данных лица, не являющегося заявителем).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Для подтверждения дохода семьи прилагаются документы, содержащие сведения</w:t>
      </w:r>
      <w:r>
        <w:rPr>
          <w:sz w:val="16"/>
          <w:szCs w:val="16"/>
        </w:rPr>
        <w:t>: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1) о заработной плате, денежном содержании (вознаграждении) по месту работы;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2) о денежном довольствии военнослужащих и сотрудников органов внутренних дел;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3) о размере: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получаемой пенсии, компенсационной выплаты дополнительного ежемесячного обеспечения пенсионера;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получаемой стипендии;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получаемых пособий;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4) о доходах от занятий предпринимательской деятельностью;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>5) о размере алиментов, получаемых на содержание несовершеннолетних детей ( с места работы должника либо справка от службы судебных приставов) либо соглашение об уплате алиментов и др.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Отсутствие доходов семьи подтверждается следующими документами: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документ, содержащий сведения об увольнении;  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об отбывании одним из родителей (законным представителем) наказания в учреждениях, исполняющих наказание в виде лишения свободы, о нахождении одного из родителей в местах содержания под стражей подозреваемых и обвиняемых в совершении преступлений; </w:t>
      </w:r>
      <w:r>
        <w:rPr>
          <w:sz w:val="16"/>
          <w:szCs w:val="16"/>
        </w:rPr>
        <w:t xml:space="preserve"> </w:t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453005" cy="1524635"/>
            <wp:effectExtent l="0" t="0" r="0" b="0"/>
            <wp:wrapSquare wrapText="largest"/>
            <wp:docPr id="5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426" w:hanging="295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426" w:hanging="295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426" w:hanging="295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426" w:hanging="295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0"/>
        </w:numPr>
        <w:ind w:left="1135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-57" w:right="0" w:hanging="0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II. Ежемесячная денежная выплата, назначаемая в случае рождения третьего ребенка и (или) последующих детей до достижения ребенком возраста трех лет соответствии с Законом Челябинской области № 371-ЗО от 30.08.2012 г.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-57" w:right="0" w:hanging="0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ConsPlusNormal"/>
        <w:ind w:left="0" w:right="0" w:firstLine="540"/>
        <w:jc w:val="both"/>
        <w:rPr>
          <w:sz w:val="16"/>
          <w:szCs w:val="16"/>
        </w:rPr>
      </w:pPr>
      <w:r>
        <w:rPr>
          <w:sz w:val="16"/>
          <w:szCs w:val="16"/>
        </w:rPr>
        <w:t>В состав семьи, учитываемый при исчислении величины среднедушевого дохода семьи, дающего право   ежемесячной денежной выплаты, назначаемой в случае рождения третьего ребенка и (или) последующих детей до достижения ребенком возраста трех лет,  включаются родитель (в том числе усыновитель) или опекун (попечитель) ребенка, его супруг (супруга), несовершеннолетние дети и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</w:r>
    </w:p>
    <w:p>
      <w:pPr>
        <w:pStyle w:val="ConsPlusNormal"/>
        <w:ind w:left="0" w:right="0"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Доход семьи </w:t>
      </w:r>
      <w:r>
        <w:rPr>
          <w:rFonts w:cs="Times New Roman"/>
          <w:sz w:val="16"/>
          <w:szCs w:val="16"/>
        </w:rPr>
        <w:t xml:space="preserve"> ниже величины двойного прожиточного минимума на душу населения 35 564 руб. </w:t>
      </w:r>
    </w:p>
    <w:p>
      <w:pPr>
        <w:pStyle w:val="ListParagraph"/>
        <w:spacing w:lineRule="auto" w:line="276" w:before="0" w:after="200"/>
        <w:ind w:left="360" w:hanging="0"/>
        <w:contextualSpacing/>
        <w:jc w:val="both"/>
        <w:rPr>
          <w:sz w:val="16"/>
          <w:szCs w:val="16"/>
        </w:rPr>
      </w:pPr>
      <w:r>
        <w:rPr>
          <w:b w:val="false"/>
          <w:bCs w:val="false"/>
          <w:sz w:val="16"/>
          <w:szCs w:val="16"/>
        </w:rPr>
        <w:t>Размер ежемесячной денежной выплаты составляет 1</w:t>
      </w:r>
      <w:r>
        <w:rPr>
          <w:b w:val="false"/>
          <w:bCs w:val="false"/>
          <w:sz w:val="16"/>
          <w:szCs w:val="16"/>
        </w:rPr>
        <w:t>5</w:t>
      </w:r>
      <w:r>
        <w:rPr>
          <w:b w:val="false"/>
          <w:bCs w:val="false"/>
          <w:sz w:val="16"/>
          <w:szCs w:val="16"/>
        </w:rPr>
        <w:t xml:space="preserve"> 825 руб. 00 коп.</w:t>
      </w:r>
    </w:p>
    <w:p>
      <w:pPr>
        <w:pStyle w:val="ListParagraph"/>
        <w:ind w:left="0" w:firstLine="426"/>
        <w:jc w:val="both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ListParagraph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ab/>
        <w:t>Список документов необходимых для оформления пособия: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Копии свидетельств о рождении детей.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Справка ф-25 (если сведения об отце ребенка внесены в запись акта о рождении ребенка по заявлению матери). 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Копия свидетельства об установления отцовства (о браке, о расторжении брака)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Копии страховых свидетельств обязательного пенсионного страхования заявителя и членов его семьи 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>5. Копия акта органа опеки и попечительства об установлении опеки над ребенком (детьми), а так же справка о неполучении денежных средств на содержания детей, переданных под опеку (попечительство)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6. Справка о доходах, полученных от трудовой деятельности за </w:t>
      </w:r>
      <w:r>
        <w:rPr>
          <w:b/>
          <w:sz w:val="16"/>
          <w:szCs w:val="16"/>
        </w:rPr>
        <w:t>12 календарных месяцев, предшествующих месяцу до месяца подачи заявления (например, при обращении в январе 2025 г. – доходы будут учитываться с 01.12.2023 г. по 30.11.2024г.)</w:t>
      </w:r>
      <w:r>
        <w:rPr>
          <w:sz w:val="16"/>
          <w:szCs w:val="16"/>
        </w:rPr>
        <w:t>, для определения среднедушевого дохода семьи либо документы, подтверждающие отсутствие дохода семьи;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>7. Неработающим родителям предоставить копии трудовых книжек (титульного листа и последнего листа с записью об увольнении), при отсутствии трудовой книжки предоставляется объяснительная и номер свидетельства ИНН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>8.  сведения о регистрации членов многодетной семьи по месту жительства (месту пребывания) на территории Челябинской области;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>
          <w:sz w:val="16"/>
          <w:szCs w:val="16"/>
        </w:rPr>
      </w:pPr>
      <w:r>
        <w:rPr/>
      </w:r>
    </w:p>
    <w:sectPr>
      <w:type w:val="nextPage"/>
      <w:pgSz w:orient="landscape" w:w="16838" w:h="11906"/>
      <w:pgMar w:left="567" w:right="395" w:header="0" w:top="426" w:footer="0" w:bottom="426" w:gutter="0"/>
      <w:pgNumType w:fmt="decimal"/>
      <w:cols w:num="3" w:equalWidth="false" w:sep="false">
        <w:col w:w="4936" w:space="708"/>
        <w:col w:w="4562" w:space="708"/>
        <w:col w:w="4961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7b9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37b94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937b9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37b94"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ourier New" w:cs="Liberation Serif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hi-IN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szn11@minsoc74.ru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Application>LibreOffice/7.0.6.2$Linux_X86_64 LibreOffice_project/00$Build-2</Application>
  <AppVersion>15.0000</AppVersion>
  <Pages>2</Pages>
  <Words>1425</Words>
  <Characters>9649</Characters>
  <CharactersWithSpaces>11043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2013-04-11T12:15:00Z</dcterms:created>
  <dc:creator>УСЗН</dc:creator>
  <dc:description/>
  <dc:language>ru-RU</dc:language>
  <cp:lastModifiedBy/>
  <cp:lastPrinted>2024-01-17T10:44:47Z</cp:lastPrinted>
  <dcterms:modified xsi:type="dcterms:W3CDTF">2025-03-21T15:22:57Z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